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0C57" w:rsidRPr="00B70C57" w:rsidRDefault="00B70C57" w:rsidP="00B70C57">
      <w:pPr>
        <w:suppressAutoHyphens/>
        <w:spacing w:after="120" w:line="240" w:lineRule="auto"/>
        <w:jc w:val="center"/>
        <w:outlineLvl w:val="0"/>
        <w:rPr>
          <w:rFonts w:eastAsia="Times New Roman"/>
          <w:b/>
          <w:caps/>
          <w:kern w:val="28"/>
          <w:sz w:val="32"/>
          <w:szCs w:val="32"/>
          <w:lang w:eastAsia="ru-RU"/>
        </w:rPr>
      </w:pPr>
      <w:bookmarkStart w:id="0" w:name="_Toc231113114"/>
      <w:r w:rsidRPr="00B70C57">
        <w:rPr>
          <w:rFonts w:eastAsia="Times New Roman"/>
          <w:b/>
          <w:caps/>
          <w:kern w:val="28"/>
          <w:sz w:val="32"/>
          <w:szCs w:val="32"/>
          <w:lang w:eastAsia="ru-RU"/>
        </w:rPr>
        <w:t>Лекция 8. Специализированные транспортные средства</w:t>
      </w:r>
      <w:bookmarkEnd w:id="0"/>
    </w:p>
    <w:p w:rsidR="00B70C57" w:rsidRPr="00B70C57" w:rsidRDefault="00B70C57" w:rsidP="00B70C57">
      <w:pPr>
        <w:spacing w:after="0" w:line="240" w:lineRule="auto"/>
        <w:ind w:firstLine="567"/>
        <w:jc w:val="both"/>
        <w:rPr>
          <w:rFonts w:eastAsia="Times New Roman"/>
          <w:b/>
          <w:lang w:eastAsia="ru-RU"/>
        </w:rPr>
      </w:pPr>
    </w:p>
    <w:p w:rsidR="00B70C57" w:rsidRPr="00B70C57" w:rsidRDefault="00B70C57" w:rsidP="00B70C57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B70C57">
        <w:rPr>
          <w:rFonts w:eastAsia="Times New Roman"/>
          <w:lang w:eastAsia="ru-RU"/>
        </w:rPr>
        <w:t xml:space="preserve">Такие транспортные </w:t>
      </w:r>
      <w:proofErr w:type="gramStart"/>
      <w:r w:rsidRPr="00B70C57">
        <w:rPr>
          <w:rFonts w:eastAsia="Times New Roman"/>
          <w:lang w:eastAsia="ru-RU"/>
        </w:rPr>
        <w:t>средства  приспособлены</w:t>
      </w:r>
      <w:proofErr w:type="gramEnd"/>
      <w:r w:rsidRPr="00B70C57">
        <w:rPr>
          <w:rFonts w:eastAsia="Times New Roman"/>
          <w:lang w:eastAsia="ru-RU"/>
        </w:rPr>
        <w:t xml:space="preserve"> для перевозки одного или нескольких однородных грузов, отличающихся специфическими условиями их транспортировки, и оборудованы различны</w:t>
      </w:r>
      <w:r w:rsidRPr="00B70C57">
        <w:rPr>
          <w:rFonts w:eastAsia="Times New Roman"/>
          <w:lang w:eastAsia="ru-RU"/>
        </w:rPr>
        <w:softHyphen/>
        <w:t>ми приспособлениями и устройствами, которые обеспечивают сохранность и качество доставляемых на строительные объекта грузов и комплексную механизацию погрузочно-разгрузочных работ. Применение специализированного транспорта способствует повышению эффективности и качества строительства, позволяет снизить себестоимость перевозок, свести к минимуму потери строительных материалов и полуфабрикатов, а также повреждение строительных изделий и конструкции, которые весьма значительны при использовании транспортных средств общего назначения. В настоящее время без применения специализированного транспорта практически невозможна доставка многих грузов на объекты строительства.  Большинство специализированных транспортных средств представляют собой смен</w:t>
      </w:r>
      <w:r w:rsidRPr="00B70C57">
        <w:rPr>
          <w:rFonts w:eastAsia="Times New Roman"/>
          <w:lang w:eastAsia="ru-RU"/>
        </w:rPr>
        <w:softHyphen/>
        <w:t>ные прицепы и полуприцепы к грузовым автомобилям, пневмоколесным тягачам и тракторам, что позволяет более эффективно использовать базовую машину. Наибольшее распространение в строительстве получил автомобильный специализированный транспорт. Специализиро</w:t>
      </w:r>
      <w:r w:rsidRPr="00B70C57">
        <w:rPr>
          <w:rFonts w:eastAsia="Times New Roman"/>
          <w:lang w:eastAsia="ru-RU"/>
        </w:rPr>
        <w:softHyphen/>
        <w:t xml:space="preserve">ванные транспортные средства для строительства предназначены для перевозки грунта, сыпучих и глыбообразных грузов (самосвалы, </w:t>
      </w:r>
      <w:proofErr w:type="spellStart"/>
      <w:r w:rsidRPr="00B70C57">
        <w:rPr>
          <w:rFonts w:eastAsia="Times New Roman"/>
          <w:lang w:eastAsia="ru-RU"/>
        </w:rPr>
        <w:t>керамзитовозы</w:t>
      </w:r>
      <w:proofErr w:type="spellEnd"/>
      <w:r w:rsidRPr="00B70C57">
        <w:rPr>
          <w:rFonts w:eastAsia="Times New Roman"/>
          <w:lang w:eastAsia="ru-RU"/>
        </w:rPr>
        <w:t>), жидких к полужидких (</w:t>
      </w:r>
      <w:proofErr w:type="spellStart"/>
      <w:r w:rsidRPr="00B70C57">
        <w:rPr>
          <w:rFonts w:eastAsia="Times New Roman"/>
          <w:lang w:eastAsia="ru-RU"/>
        </w:rPr>
        <w:t>битумовозы</w:t>
      </w:r>
      <w:proofErr w:type="spellEnd"/>
      <w:r w:rsidRPr="00B70C57">
        <w:rPr>
          <w:rFonts w:eastAsia="Times New Roman"/>
          <w:lang w:eastAsia="ru-RU"/>
        </w:rPr>
        <w:t xml:space="preserve">, </w:t>
      </w:r>
      <w:proofErr w:type="spellStart"/>
      <w:r w:rsidRPr="00B70C57">
        <w:rPr>
          <w:rFonts w:eastAsia="Times New Roman"/>
          <w:lang w:eastAsia="ru-RU"/>
        </w:rPr>
        <w:t>известковозы</w:t>
      </w:r>
      <w:proofErr w:type="spellEnd"/>
      <w:r w:rsidRPr="00B70C57">
        <w:rPr>
          <w:rFonts w:eastAsia="Times New Roman"/>
          <w:lang w:eastAsia="ru-RU"/>
        </w:rPr>
        <w:t xml:space="preserve">, </w:t>
      </w:r>
      <w:proofErr w:type="spellStart"/>
      <w:r w:rsidRPr="00B70C57">
        <w:rPr>
          <w:rFonts w:eastAsia="Times New Roman"/>
          <w:lang w:eastAsia="ru-RU"/>
        </w:rPr>
        <w:t>бетоно</w:t>
      </w:r>
      <w:proofErr w:type="spellEnd"/>
      <w:r w:rsidRPr="00B70C57">
        <w:rPr>
          <w:rFonts w:eastAsia="Times New Roman"/>
          <w:lang w:eastAsia="ru-RU"/>
        </w:rPr>
        <w:t xml:space="preserve">- и </w:t>
      </w:r>
      <w:proofErr w:type="spellStart"/>
      <w:r w:rsidRPr="00B70C57">
        <w:rPr>
          <w:rFonts w:eastAsia="Times New Roman"/>
          <w:lang w:eastAsia="ru-RU"/>
        </w:rPr>
        <w:t>растворовозы</w:t>
      </w:r>
      <w:proofErr w:type="spellEnd"/>
      <w:r w:rsidRPr="00B70C57">
        <w:rPr>
          <w:rFonts w:eastAsia="Times New Roman"/>
          <w:lang w:eastAsia="ru-RU"/>
        </w:rPr>
        <w:t>), порошко</w:t>
      </w:r>
      <w:r w:rsidRPr="00B70C57">
        <w:rPr>
          <w:rFonts w:eastAsia="Times New Roman"/>
          <w:lang w:eastAsia="ru-RU"/>
        </w:rPr>
        <w:softHyphen/>
        <w:t>образных (цементовозы), мелкоштучных и тар</w:t>
      </w:r>
      <w:r w:rsidRPr="00B70C57">
        <w:rPr>
          <w:rFonts w:eastAsia="Times New Roman"/>
          <w:lang w:eastAsia="ru-RU"/>
        </w:rPr>
        <w:softHyphen/>
        <w:t>ных грузов (контейнеровозы), длинномерных грузов (</w:t>
      </w:r>
      <w:proofErr w:type="spellStart"/>
      <w:r w:rsidRPr="00B70C57">
        <w:rPr>
          <w:rFonts w:eastAsia="Times New Roman"/>
          <w:lang w:eastAsia="ru-RU"/>
        </w:rPr>
        <w:t>трубовозы</w:t>
      </w:r>
      <w:proofErr w:type="spellEnd"/>
      <w:r w:rsidRPr="00B70C57">
        <w:rPr>
          <w:rFonts w:eastAsia="Times New Roman"/>
          <w:lang w:eastAsia="ru-RU"/>
        </w:rPr>
        <w:t xml:space="preserve">, </w:t>
      </w:r>
      <w:proofErr w:type="spellStart"/>
      <w:r w:rsidRPr="00B70C57">
        <w:rPr>
          <w:rFonts w:eastAsia="Times New Roman"/>
          <w:lang w:eastAsia="ru-RU"/>
        </w:rPr>
        <w:t>металловозы</w:t>
      </w:r>
      <w:proofErr w:type="spellEnd"/>
      <w:r w:rsidRPr="00B70C57">
        <w:rPr>
          <w:rFonts w:eastAsia="Times New Roman"/>
          <w:lang w:eastAsia="ru-RU"/>
        </w:rPr>
        <w:t xml:space="preserve">, лесовозы), железобетонных конструкций (панелевозы, </w:t>
      </w:r>
      <w:proofErr w:type="spellStart"/>
      <w:r w:rsidRPr="00B70C57">
        <w:rPr>
          <w:rFonts w:eastAsia="Times New Roman"/>
          <w:lang w:eastAsia="ru-RU"/>
        </w:rPr>
        <w:t>фермовозы</w:t>
      </w:r>
      <w:proofErr w:type="spellEnd"/>
      <w:r w:rsidRPr="00B70C57">
        <w:rPr>
          <w:rFonts w:eastAsia="Times New Roman"/>
          <w:lang w:eastAsia="ru-RU"/>
        </w:rPr>
        <w:t xml:space="preserve">, </w:t>
      </w:r>
      <w:proofErr w:type="spellStart"/>
      <w:r w:rsidRPr="00B70C57">
        <w:rPr>
          <w:rFonts w:eastAsia="Times New Roman"/>
          <w:lang w:eastAsia="ru-RU"/>
        </w:rPr>
        <w:t>плитовозы</w:t>
      </w:r>
      <w:proofErr w:type="spellEnd"/>
      <w:r w:rsidRPr="00B70C57">
        <w:rPr>
          <w:rFonts w:eastAsia="Times New Roman"/>
          <w:lang w:eastAsia="ru-RU"/>
        </w:rPr>
        <w:t xml:space="preserve">, </w:t>
      </w:r>
      <w:proofErr w:type="spellStart"/>
      <w:r w:rsidRPr="00B70C57">
        <w:rPr>
          <w:rFonts w:eastAsia="Times New Roman"/>
          <w:lang w:eastAsia="ru-RU"/>
        </w:rPr>
        <w:t>балковозы</w:t>
      </w:r>
      <w:proofErr w:type="spellEnd"/>
      <w:r w:rsidRPr="00B70C57">
        <w:rPr>
          <w:rFonts w:eastAsia="Times New Roman"/>
          <w:lang w:eastAsia="ru-RU"/>
        </w:rPr>
        <w:t xml:space="preserve">, </w:t>
      </w:r>
      <w:proofErr w:type="spellStart"/>
      <w:r w:rsidRPr="00B70C57">
        <w:rPr>
          <w:rFonts w:eastAsia="Times New Roman"/>
          <w:lang w:eastAsia="ru-RU"/>
        </w:rPr>
        <w:t>блоковозы</w:t>
      </w:r>
      <w:proofErr w:type="spellEnd"/>
      <w:r w:rsidRPr="00B70C57">
        <w:rPr>
          <w:rFonts w:eastAsia="Times New Roman"/>
          <w:lang w:eastAsia="ru-RU"/>
        </w:rPr>
        <w:t>, сан-</w:t>
      </w:r>
      <w:proofErr w:type="spellStart"/>
      <w:r w:rsidRPr="00B70C57">
        <w:rPr>
          <w:rFonts w:eastAsia="Times New Roman"/>
          <w:lang w:eastAsia="ru-RU"/>
        </w:rPr>
        <w:t>техкабиновозы</w:t>
      </w:r>
      <w:proofErr w:type="spellEnd"/>
      <w:r w:rsidRPr="00B70C57">
        <w:rPr>
          <w:rFonts w:eastAsia="Times New Roman"/>
          <w:lang w:eastAsia="ru-RU"/>
        </w:rPr>
        <w:t>), технологического оборудования и строительных машин (тяжеловозы).</w:t>
      </w:r>
    </w:p>
    <w:p w:rsidR="00B70C57" w:rsidRPr="00B70C57" w:rsidRDefault="00B70C57" w:rsidP="00B70C57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B70C57">
        <w:rPr>
          <w:rFonts w:eastAsia="Times New Roman"/>
          <w:b/>
          <w:lang w:eastAsia="ru-RU"/>
        </w:rPr>
        <w:t>Автомобили-самосвалы</w:t>
      </w:r>
      <w:r w:rsidRPr="00B70C57">
        <w:rPr>
          <w:rFonts w:eastAsia="Times New Roman"/>
          <w:lang w:eastAsia="ru-RU"/>
        </w:rPr>
        <w:t xml:space="preserve"> перевозят строительные грузы в металлических кузовах с корытообразной, трапециевидной и прямоугольной формой попе</w:t>
      </w:r>
      <w:r w:rsidRPr="00B70C57">
        <w:rPr>
          <w:rFonts w:eastAsia="Times New Roman"/>
          <w:lang w:eastAsia="ru-RU"/>
        </w:rPr>
        <w:softHyphen/>
        <w:t>речного сечения, принудительно наклоняемых при разгрузке с помощью подъемного гидравлическо</w:t>
      </w:r>
      <w:r w:rsidRPr="00B70C57">
        <w:rPr>
          <w:rFonts w:eastAsia="Times New Roman"/>
          <w:lang w:eastAsia="ru-RU"/>
        </w:rPr>
        <w:softHyphen/>
        <w:t xml:space="preserve">го (опрокидного) механизма назад, на боковые (одну или обе) стороны, на стороны и назад. По назначению различают специальные карьерные и универсальные общестроительные самосвалы. </w:t>
      </w:r>
    </w:p>
    <w:p w:rsidR="00B70C57" w:rsidRPr="00B70C57" w:rsidRDefault="00B70C57" w:rsidP="00B70C57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B70C57">
        <w:rPr>
          <w:rFonts w:eastAsia="Times New Roman"/>
          <w:lang w:eastAsia="ru-RU"/>
        </w:rPr>
        <w:t>Общестроительные самосвалы имеют грузо</w:t>
      </w:r>
      <w:r w:rsidRPr="00B70C57">
        <w:rPr>
          <w:rFonts w:eastAsia="Times New Roman"/>
          <w:lang w:eastAsia="ru-RU"/>
        </w:rPr>
        <w:softHyphen/>
        <w:t>подъемность от 4 до 13,5 т и используются для перевозки грунта, щебня, песка, бетонной смеси, строительного раствора, асфальтовой массы, строительного мусора и т. п. Они базируются на шасси серийных грузовых автомо</w:t>
      </w:r>
      <w:r w:rsidRPr="00B70C57">
        <w:rPr>
          <w:rFonts w:eastAsia="Times New Roman"/>
          <w:lang w:eastAsia="ru-RU"/>
        </w:rPr>
        <w:softHyphen/>
        <w:t>билей и оборудуются однотипными гидравличес</w:t>
      </w:r>
      <w:r w:rsidRPr="00B70C57">
        <w:rPr>
          <w:rFonts w:eastAsia="Times New Roman"/>
          <w:lang w:eastAsia="ru-RU"/>
        </w:rPr>
        <w:softHyphen/>
        <w:t>кими подъемными механизмами, обеспечивающи</w:t>
      </w:r>
      <w:r w:rsidRPr="00B70C57">
        <w:rPr>
          <w:rFonts w:eastAsia="Times New Roman"/>
          <w:lang w:eastAsia="ru-RU"/>
        </w:rPr>
        <w:softHyphen/>
        <w:t>ми быстрый подъем и опускание кузова, высокую надежность и безопасность работы. Основными узлами таких механизмов являются масляный бак, гидронасос с приводом от коробки отбора мощности автомобиля, один или два (в зависимо</w:t>
      </w:r>
      <w:r w:rsidRPr="00B70C57">
        <w:rPr>
          <w:rFonts w:eastAsia="Times New Roman"/>
          <w:lang w:eastAsia="ru-RU"/>
        </w:rPr>
        <w:softHyphen/>
        <w:t>сти от грузоподъемности) телескопических гидро</w:t>
      </w:r>
      <w:r w:rsidRPr="00B70C57">
        <w:rPr>
          <w:rFonts w:eastAsia="Times New Roman"/>
          <w:lang w:eastAsia="ru-RU"/>
        </w:rPr>
        <w:softHyphen/>
        <w:t xml:space="preserve">цилиндра </w:t>
      </w:r>
      <w:r w:rsidRPr="00B70C57">
        <w:rPr>
          <w:rFonts w:eastAsia="Times New Roman"/>
          <w:lang w:eastAsia="ru-RU"/>
        </w:rPr>
        <w:lastRenderedPageBreak/>
        <w:t>одностороннего действия, непосред</w:t>
      </w:r>
      <w:r w:rsidRPr="00B70C57">
        <w:rPr>
          <w:rFonts w:eastAsia="Times New Roman"/>
          <w:lang w:eastAsia="ru-RU"/>
        </w:rPr>
        <w:softHyphen/>
        <w:t>ственно воздействующие на кузов, распределитель или кран управления, соединительные трубопро</w:t>
      </w:r>
      <w:r w:rsidRPr="00B70C57">
        <w:rPr>
          <w:rFonts w:eastAsia="Times New Roman"/>
          <w:lang w:eastAsia="ru-RU"/>
        </w:rPr>
        <w:softHyphen/>
        <w:t>воды и предохранительные устройства.</w:t>
      </w:r>
    </w:p>
    <w:p w:rsidR="00B70C57" w:rsidRPr="00B70C57" w:rsidRDefault="00B70C57" w:rsidP="00B70C57">
      <w:pPr>
        <w:spacing w:after="0" w:line="240" w:lineRule="auto"/>
        <w:ind w:firstLine="540"/>
        <w:jc w:val="both"/>
        <w:rPr>
          <w:rFonts w:eastAsia="Times New Roman"/>
          <w:lang w:eastAsia="ru-RU"/>
        </w:rPr>
      </w:pPr>
      <w:r w:rsidRPr="00B70C57">
        <w:rPr>
          <w:rFonts w:eastAsia="Times New Roman"/>
          <w:lang w:eastAsia="ru-RU"/>
        </w:rPr>
        <w:t>Гидроцилиндры подъемных механизмов могут иметь горизонтальное, наклонное и вертикальное расположение и устанавливаются на раме автомобиля под передней частью кузова или на переднем его борту (рис. 4). Распределитель или кран управления направляет поток рабочей жидкости от насоса к гидроцилиндру (или синхронно работающим гидроцилиндрам) при опрокидывании кузова, соединяет полости гидро</w:t>
      </w:r>
      <w:r w:rsidRPr="00B70C57">
        <w:rPr>
          <w:rFonts w:eastAsia="Times New Roman"/>
          <w:lang w:eastAsia="ru-RU"/>
        </w:rPr>
        <w:softHyphen/>
        <w:t>цилиндров со сливным баком при опускании кузова, ограничивает давление в системе и обеспе</w:t>
      </w:r>
      <w:r w:rsidRPr="00B70C57">
        <w:rPr>
          <w:rFonts w:eastAsia="Times New Roman"/>
          <w:lang w:eastAsia="ru-RU"/>
        </w:rPr>
        <w:softHyphen/>
        <w:t>чивает фиксацию кузова в определенных положе</w:t>
      </w:r>
      <w:r w:rsidRPr="00B70C57">
        <w:rPr>
          <w:rFonts w:eastAsia="Times New Roman"/>
          <w:lang w:eastAsia="ru-RU"/>
        </w:rPr>
        <w:softHyphen/>
        <w:t>ниях (крайних или промежуточных).</w:t>
      </w:r>
    </w:p>
    <w:p w:rsidR="00B70C57" w:rsidRPr="00B70C57" w:rsidRDefault="00B70C57" w:rsidP="00B70C57">
      <w:pPr>
        <w:spacing w:after="0" w:line="240" w:lineRule="auto"/>
        <w:ind w:firstLine="540"/>
        <w:jc w:val="center"/>
        <w:rPr>
          <w:rFonts w:eastAsia="Times New Roman"/>
          <w:sz w:val="18"/>
          <w:szCs w:val="18"/>
          <w:lang w:eastAsia="ru-RU"/>
        </w:rPr>
      </w:pPr>
      <w:r w:rsidRPr="00B70C57">
        <w:rPr>
          <w:rFonts w:eastAsia="Times New Roman"/>
          <w:noProof/>
          <w:lang w:eastAsia="ru-RU"/>
        </w:rPr>
        <w:drawing>
          <wp:inline distT="0" distB="0" distL="0" distR="0" wp14:anchorId="6EB7CCA3" wp14:editId="1C3279AF">
            <wp:extent cx="4742180" cy="3402330"/>
            <wp:effectExtent l="1905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2180" cy="3402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0C57" w:rsidRPr="00B70C57" w:rsidRDefault="00B70C57" w:rsidP="00B70C57">
      <w:pPr>
        <w:spacing w:after="0" w:line="240" w:lineRule="auto"/>
        <w:ind w:firstLine="540"/>
        <w:jc w:val="center"/>
        <w:rPr>
          <w:rFonts w:eastAsia="Times New Roman"/>
          <w:sz w:val="18"/>
          <w:szCs w:val="18"/>
          <w:lang w:eastAsia="ru-RU"/>
        </w:rPr>
      </w:pPr>
    </w:p>
    <w:p w:rsidR="00B70C57" w:rsidRPr="00B70C57" w:rsidRDefault="00B70C57" w:rsidP="00B70C57">
      <w:pPr>
        <w:spacing w:after="0" w:line="240" w:lineRule="auto"/>
        <w:ind w:firstLine="540"/>
        <w:jc w:val="center"/>
        <w:rPr>
          <w:rFonts w:eastAsia="Times New Roman"/>
          <w:sz w:val="24"/>
          <w:szCs w:val="24"/>
          <w:lang w:eastAsia="ru-RU"/>
        </w:rPr>
      </w:pPr>
      <w:r w:rsidRPr="00B70C57">
        <w:rPr>
          <w:rFonts w:eastAsia="Times New Roman"/>
          <w:sz w:val="24"/>
          <w:szCs w:val="24"/>
          <w:lang w:eastAsia="ru-RU"/>
        </w:rPr>
        <w:t>Рис. 4. Автомобиль - самосвал</w:t>
      </w:r>
    </w:p>
    <w:p w:rsidR="00B70C57" w:rsidRPr="00B70C57" w:rsidRDefault="00B70C57" w:rsidP="00B70C57">
      <w:pPr>
        <w:spacing w:after="0" w:line="240" w:lineRule="auto"/>
        <w:ind w:firstLine="540"/>
        <w:jc w:val="both"/>
        <w:rPr>
          <w:rFonts w:eastAsia="Times New Roman"/>
          <w:lang w:eastAsia="ru-RU"/>
        </w:rPr>
      </w:pPr>
    </w:p>
    <w:p w:rsidR="00B70C57" w:rsidRPr="00B70C57" w:rsidRDefault="00B70C57" w:rsidP="00B70C57">
      <w:pPr>
        <w:spacing w:after="0" w:line="240" w:lineRule="auto"/>
        <w:ind w:firstLine="540"/>
        <w:jc w:val="both"/>
        <w:rPr>
          <w:rFonts w:eastAsia="Times New Roman"/>
          <w:lang w:eastAsia="ru-RU"/>
        </w:rPr>
      </w:pPr>
      <w:r w:rsidRPr="00B70C57">
        <w:rPr>
          <w:rFonts w:eastAsia="Times New Roman"/>
          <w:lang w:eastAsia="ru-RU"/>
        </w:rPr>
        <w:t>Все большее распространение в строительстве получают самосвальные автопоезда в составе автомобиля-самосвала и прицепа-самосвала или седельного тягача и полуприцепа-самосвала. Автомобиль-самосвал разгружается на стороны, а прицеп-самосвал – на стороны и назад. Прицепы-самосвалы могут иметь разъемные (сдвоенные) кузова, передний из которых разгружается на две (боковые), а задний – на три (боковые и назад) стороны. Гидроцилиндры прицепов действуют от гидравлической системы базового автомобиля. Современные автомобили-самосвалы и самосвальные прицепы имеют унифицированные кузова, ходовую часть, подъ</w:t>
      </w:r>
      <w:r w:rsidRPr="00B70C57">
        <w:rPr>
          <w:rFonts w:eastAsia="Times New Roman"/>
          <w:lang w:eastAsia="ru-RU"/>
        </w:rPr>
        <w:softHyphen/>
        <w:t>емные механизмы и оборудуются системой автоматического открывания и закрывания бортов с управлением из кабины водителя.</w:t>
      </w:r>
    </w:p>
    <w:p w:rsidR="001F7B25" w:rsidRDefault="00B70C57" w:rsidP="00B70C57">
      <w:r w:rsidRPr="00B70C57">
        <w:rPr>
          <w:rFonts w:eastAsia="Times New Roman"/>
          <w:szCs w:val="20"/>
          <w:lang w:val="uk-UA" w:eastAsia="ru-RU"/>
        </w:rPr>
        <w:br w:type="page"/>
      </w:r>
      <w:bookmarkStart w:id="1" w:name="_GoBack"/>
      <w:bookmarkEnd w:id="1"/>
    </w:p>
    <w:sectPr w:rsidR="001F7B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C50"/>
    <w:rsid w:val="00020C50"/>
    <w:rsid w:val="001F7B25"/>
    <w:rsid w:val="005E015E"/>
    <w:rsid w:val="00A45033"/>
    <w:rsid w:val="00B00C07"/>
    <w:rsid w:val="00B70C57"/>
    <w:rsid w:val="00BD0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DBCB5C-3291-4BBD-B360-F3E5A07D0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635</Words>
  <Characters>3625</Characters>
  <Application>Microsoft Office Word</Application>
  <DocSecurity>0</DocSecurity>
  <Lines>30</Lines>
  <Paragraphs>8</Paragraphs>
  <ScaleCrop>false</ScaleCrop>
  <Company/>
  <LinksUpToDate>false</LinksUpToDate>
  <CharactersWithSpaces>4252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2023-09-26T17:12:00Z</dcterms:created>
  <dcterms:modified xsi:type="dcterms:W3CDTF">2023-09-26T17:12:00Z</dcterms:modified>
</cp:coreProperties>
</file>